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248</w:t>
      </w:r>
    </w:p>
    <w:p>
      <w:r>
        <w:t>Bundesgericht (BGE), 1992-03-23, FR</w:t>
      </w:r>
    </w:p>
    <w:p>
      <w:r>
        <w:rPr>
          <w:b/>
        </w:rPr>
        <w:t xml:space="preserve">Quelle: </w:t>
      </w:r>
      <w:r>
        <w:t>https://mcp.opencaselaw.ch/entscheid/bge_121 II 248</w:t>
      </w:r>
    </w:p>
    <w:p>
      <w:r>
        <w:t>FR: ATF 121 II 248</w:t>
      </w:r>
    </w:p>
    <w:p>
      <w:r>
        <w:t>IT: DTF 121 II 248</w:t>
      </w:r>
    </w:p>
    <w:p>
      <w:pPr>
        <w:pStyle w:val="Heading2"/>
      </w:pPr>
      <w:r>
        <w:t>Regeste</w:t>
      </w:r>
    </w:p>
    <w:p>
      <w:r>
        <w:t>Regeste Art. 100 lit. a und Art. 96 OG. Die Verwaltungsgerichtsbeschwerde ist nicht zulässig, wenn sie auf eine Intervention der Schweiz bei einem ausländischen Staat wegen einer behaupteten Verletzung des Spezialitätsprinzips in Auslieferungssachen abzielt (E. 1a und b). Überweisung der Beschwerde ans Eidgenössische Justiz- und Polizeidepartement, in dessen Zuständigkeitsbereich diese fallen könnte, ohne dass das Bundesgericht sich über das offenstehende Rechtsmittel oder zur Sache äussert (E. 1c).</w:t>
      </w:r>
    </w:p>
    <w:p>
      <w:pPr>
        <w:pStyle w:val="Heading2"/>
      </w:pPr>
      <w:r>
        <w:t>Erwägungen</w:t>
      </w:r>
    </w:p>
    <w:p>
      <w:r>
        <w:rPr>
          <w:b/>
        </w:rPr>
        <w:t>E. 1</w:t>
      </w:r>
    </w:p>
    <w:p>
      <w:r>
        <w:t>Le Tribunal fédéral examine d'office et librement la recevabilité du recours de droit administratif ( ATF 121 II 41 consid. 2 et les arrêts cités). BGE 121 II 248 S. 251 a) Aux termes de l' art. 100 let. a OJ ,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Comme le relève la recourante, cette clause d'exclusion doit en principe recevoir une interprétation restrictive; l' art. 100 let. a OJ vise ainsi en premier lieu les mesures touchant à la sécurité intérieure et extérieure de la Suisse, en particulier les "actes de gouvernement" ( ATF 118 Ib 280 consid. 2b, ATF 104 Ib 130 consid. 1 et les exemples cités). Le législateur a considéré que, dans ce domaine, le gouvernement doit demeurer seul responsable des décisions prises puisque les mesures tendant à protéger l'intégrité de l'Etat et à maintenir de bonnes relations avec l'étranger font partie de ses tâches essentielles; en outre, les décisions à prendre dans ce domaine sont d'ordinaire une question d'appréciation. Les décisions relatives à la protection diplomatique sont aussi considérées comme des mesures discrétionnaires soustraites au contrôle judiciaire (FF 1965 p. 1349). b) En l'espèce, la démarche de la recourante appelait non seulement un contrôle du respect du principe de la spécialité, tel qu'il découle notamment du Traité d'extradition conclu avec les Etats-Unis d'Amérique, mais aussi, le cas échéant, une intervention - protestation - auprès de cet Etat aux fins de dénoncer cette violation et d'obtenir les assurances nécessaires quant à sa réparation. Point n'est besoin de rechercher à ce stade si l'intéressée dispose d'un véritable droit subjectif à une telle intervention, en se fondant sur la règle de la spécialité. Dans tous les cas, une intervention de la Suisse, en tant qu'Etat requis, relèverait essentiellement des relations interétatiques auxquelles la personne extradée n'est pas en soi partie. L'opportunité d'une telle intervention et, le cas échéant, ses modalités, sont des questions qui revêtent un caractère politique marqué et concernent au premier chef les relations extérieures, au sens de l'art. 100 let. a in fine OJ. Le recours de droit administratif est donc exclu. c) Lorsqu'un recours est formé en temps utile devant le Tribunal fédéral, mais ressortit au Conseil fédéral ou à une autre autorité fédérale spécialement chargée de la juridiction administrative, le recours est transmis à l'autorité compétente, le délai étant considéré comme observé ( art. 96 OJ ). En l'espèce, tant la recourante que le DFJP s'accordent à reconnaître qu'en cas d'irrecevabilité du recours de droit administratif, la cause serait de BGE 121 II 248 S. 252 la compétence du DFJP. Il y a en revanche divergence quant au moyen de droit utile. Dans sa détermination, le DFJP considère qu'en l'absence d'un droit d'obtenir une intervention auprès de l'Etat requérant, la démarche de la recourante s'apparenterait à une "plainte informelle" ou à une "pétition", au sujet de laquelle elle n'aurait pas droit à une décision au sens de l' art. 5 PA ; son recours ne pourrait être traité comme recours administratif, mais uniquement comme une dénonciation au sens de l' art. 71 PA . La recourante relève que sa démarche auprès de l'OFP tendait en tout cas à la constatation d'un droit au sens de l' art. 5 al. 1 let. b PA ; elle insiste sur l'existence d'un droit relatif au respect du principe de la spécialité. Cette question n'a toutefois pas à être élucidée dans le cadre du présent arrêt. Dès lors qu'elle a constaté son incompétence pour connaître de la cause, la cour de céans doit se borner à transmettre le dossier à l'autorité compétente, sans avoir à émettre d'observations ni sur le moyen de droit par lequel cette dernière serait saisie,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